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40"/>
        <w:jc w:val="center"/>
      </w:pPr>
      <w:r>
        <w:drawing>
          <wp:inline xmlns:a="http://schemas.openxmlformats.org/drawingml/2006/main" xmlns:pic="http://schemas.openxmlformats.org/drawingml/2006/picture">
            <wp:extent cx="2788920" cy="929640"/>
            <wp:docPr id="1" name="Picture 1" descr="KAPAL logo and organization name"/>
            <wp:cNvGraphicFramePr>
              <a:graphicFrameLocks noChangeAspect="1"/>
            </wp:cNvGraphicFramePr>
            <a:graphic>
              <a:graphicData uri="http://schemas.openxmlformats.org/drawingml/2006/picture">
                <pic:pic>
                  <pic:nvPicPr>
                    <pic:cNvPr id="0" name="image1.png"/>
                    <pic:cNvPicPr/>
                  </pic:nvPicPr>
                  <pic:blipFill>
                    <a:blip r:embed="rId10"/>
                    <a:stretch>
                      <a:fillRect/>
                    </a:stretch>
                  </pic:blipFill>
                  <pic:spPr>
                    <a:xfrm>
                      <a:off x="0" y="0"/>
                      <a:ext cx="2788920" cy="929640"/>
                    </a:xfrm>
                    <a:prstGeom prst="rect"/>
                  </pic:spPr>
                </pic:pic>
              </a:graphicData>
            </a:graphic>
          </wp:inline>
        </w:drawing>
      </w:r>
    </w:p>
    <w:p>
      <w:pPr>
        <w:pStyle w:val="Title"/>
        <w:jc w:val="center"/>
      </w:pPr>
      <w:r>
        <w:t>2026 Sponsorship Partnership Proposal</w:t>
      </w:r>
    </w:p>
    <w:p>
      <w:pPr>
        <w:spacing w:after="520"/>
        <w:jc w:val="center"/>
      </w:pPr>
      <w:r>
        <w:rPr>
          <w:rFonts w:ascii="Aptos" w:hAnsi="Aptos"/>
          <w:b/>
          <w:color w:val="123A63"/>
          <w:sz w:val="28"/>
        </w:rPr>
        <w:t>THE 10TH KAPAL ANNUAL CONFERENCE</w:t>
      </w:r>
    </w:p>
    <w:p>
      <w:pPr>
        <w:jc w:val="center"/>
      </w:pPr>
      <w:r>
        <w:rPr>
          <w:rFonts w:ascii="Aptos" w:hAnsi="Aptos"/>
          <w:b/>
          <w:color w:val="123A63"/>
          <w:sz w:val="40"/>
        </w:rPr>
        <w:t>From Connections to Transactions</w:t>
      </w:r>
    </w:p>
    <w:p>
      <w:pPr>
        <w:spacing w:after="640"/>
        <w:jc w:val="center"/>
      </w:pPr>
      <w:r>
        <w:rPr>
          <w:rFonts w:ascii="Aptos" w:hAnsi="Aptos"/>
          <w:b w:val="0"/>
          <w:color w:val="E31B2B"/>
          <w:sz w:val="23"/>
        </w:rPr>
        <w:t>Supporting the Growth of Korea-U.S. Life Science Collaboration</w:t>
      </w:r>
    </w:p>
    <w:p>
      <w:pPr>
        <w:spacing w:after="80"/>
        <w:jc w:val="center"/>
      </w:pPr>
      <w:r>
        <w:rPr>
          <w:rFonts w:ascii="Aptos" w:hAnsi="Aptos"/>
          <w:b/>
          <w:color w:val="000000"/>
          <w:sz w:val="24"/>
        </w:rPr>
        <w:t>November 6-7, 2026</w:t>
      </w:r>
    </w:p>
    <w:p>
      <w:pPr>
        <w:spacing w:after="80"/>
        <w:jc w:val="center"/>
      </w:pPr>
      <w:r>
        <w:rPr>
          <w:rFonts w:ascii="Aptos" w:hAnsi="Aptos"/>
          <w:b/>
          <w:color w:val="000000"/>
          <w:sz w:val="24"/>
        </w:rPr>
        <w:t>San Diego, California</w:t>
      </w:r>
    </w:p>
    <w:p>
      <w:pPr>
        <w:spacing w:after="80"/>
        <w:jc w:val="center"/>
      </w:pPr>
      <w:r>
        <w:rPr>
          <w:rFonts w:ascii="Aptos" w:hAnsi="Aptos"/>
          <w:b w:val="0"/>
          <w:color w:val="68737D"/>
          <w:sz w:val="21"/>
        </w:rPr>
        <w:t>Venue to be confirmed</w:t>
      </w:r>
    </w:p>
    <w:p>
      <w:pPr>
        <w:spacing w:before="840"/>
        <w:jc w:val="center"/>
      </w:pPr>
      <w:r>
        <w:rPr>
          <w:rFonts w:ascii="Aptos" w:hAnsi="Aptos"/>
          <w:b w:val="0"/>
          <w:color w:val="68737D"/>
          <w:sz w:val="19"/>
        </w:rPr>
        <w:t>KAPAL is a registered 501(c)(3) nonprofit organization.</w:t>
      </w:r>
    </w:p>
    <w:p>
      <w:r>
        <w:br w:type="page"/>
      </w:r>
    </w:p>
    <w:p>
      <w:pPr>
        <w:pStyle w:val="Heading1"/>
      </w:pPr>
      <w:r>
        <w:t>A Partnership That Strengthens Korea-U.S. Biotech</w:t>
      </w:r>
    </w:p>
    <w:p>
      <w:pPr>
        <w:spacing w:after="140" w:line="274" w:lineRule="auto"/>
      </w:pPr>
      <w:r>
        <w:rPr>
          <w:rFonts w:ascii="Aptos" w:hAnsi="Aptos"/>
          <w:b w:val="0"/>
          <w:color w:val="000000"/>
          <w:sz w:val="21"/>
        </w:rPr>
        <w:t>KAPAL connects more than 2,000 professionals across the pharmaceutical, biotechnology, healthcare, investment, academic, government, and professional service communities in Korea and the United States.</w:t>
      </w:r>
    </w:p>
    <w:p>
      <w:pPr>
        <w:spacing w:after="140" w:line="274" w:lineRule="auto"/>
      </w:pPr>
      <w:r>
        <w:rPr>
          <w:rFonts w:ascii="Aptos" w:hAnsi="Aptos"/>
          <w:b w:val="0"/>
          <w:color w:val="000000"/>
          <w:sz w:val="21"/>
        </w:rPr>
        <w:t>Sponsorship of the 10th KAPAL Annual Conference helps sustain both the conference and KAPAL’s year-round work. Sponsor support creates opportunities for scientific exchange, company collaboration, professional development, and practical connections across the Korea-U.S. life science ecosystem.</w:t>
      </w:r>
    </w:p>
    <w:p>
      <w:pPr>
        <w:pStyle w:val="Heading2"/>
      </w:pPr>
      <w:r>
        <w:t>Sponsor Value</w:t>
      </w:r>
    </w:p>
    <w:p>
      <w:pPr>
        <w:pStyle w:val="ListBullet"/>
        <w:spacing w:after="60"/>
        <w:ind w:left="360" w:hanging="202"/>
      </w:pPr>
      <w:r>
        <w:rPr>
          <w:rFonts w:ascii="Aptos" w:hAnsi="Aptos"/>
          <w:b w:val="0"/>
          <w:color w:val="000000"/>
          <w:sz w:val="20"/>
        </w:rPr>
        <w:t>Twelve months of KAPAL sponsor recognition at every level.</w:t>
      </w:r>
    </w:p>
    <w:p>
      <w:pPr>
        <w:pStyle w:val="ListBullet"/>
        <w:spacing w:after="60"/>
        <w:ind w:left="360" w:hanging="202"/>
      </w:pPr>
      <w:r>
        <w:rPr>
          <w:rFonts w:ascii="Aptos" w:hAnsi="Aptos"/>
          <w:b w:val="0"/>
          <w:color w:val="000000"/>
          <w:sz w:val="20"/>
        </w:rPr>
        <w:t>Direct visibility within a specialized Korea-U.S. life science community.</w:t>
      </w:r>
    </w:p>
    <w:p>
      <w:pPr>
        <w:pStyle w:val="ListBullet"/>
        <w:spacing w:after="60"/>
        <w:ind w:left="360" w:hanging="202"/>
      </w:pPr>
      <w:r>
        <w:rPr>
          <w:rFonts w:ascii="Aptos" w:hAnsi="Aptos"/>
          <w:b w:val="0"/>
          <w:color w:val="000000"/>
          <w:sz w:val="20"/>
        </w:rPr>
        <w:t>Conference access for employees, clients, and invited guests.</w:t>
      </w:r>
    </w:p>
    <w:p>
      <w:pPr>
        <w:pStyle w:val="ListBullet"/>
        <w:spacing w:after="60"/>
        <w:ind w:left="360" w:hanging="202"/>
      </w:pPr>
      <w:r>
        <w:rPr>
          <w:rFonts w:ascii="Aptos" w:hAnsi="Aptos"/>
          <w:b w:val="0"/>
          <w:color w:val="000000"/>
          <w:sz w:val="20"/>
        </w:rPr>
        <w:t>A KAPAL-approved program participation opportunity for Centurion partners.</w:t>
      </w:r>
    </w:p>
    <w:p>
      <w:pPr>
        <w:pStyle w:val="Heading2"/>
      </w:pPr>
      <w:r>
        <w:t>Conference Focus</w:t>
      </w:r>
    </w:p>
    <w:p>
      <w:pPr>
        <w:pStyle w:val="ListBullet"/>
        <w:spacing w:after="60"/>
        <w:ind w:left="360" w:hanging="202"/>
      </w:pPr>
      <w:r>
        <w:rPr>
          <w:rFonts w:ascii="Aptos" w:hAnsi="Aptos"/>
          <w:b w:val="0"/>
          <w:color w:val="000000"/>
          <w:sz w:val="20"/>
        </w:rPr>
        <w:t>Scientific and technology exchange.</w:t>
      </w:r>
    </w:p>
    <w:p>
      <w:pPr>
        <w:pStyle w:val="ListBullet"/>
        <w:spacing w:after="60"/>
        <w:ind w:left="360" w:hanging="202"/>
      </w:pPr>
      <w:r>
        <w:rPr>
          <w:rFonts w:ascii="Aptos" w:hAnsi="Aptos"/>
          <w:b w:val="0"/>
          <w:color w:val="000000"/>
          <w:sz w:val="20"/>
        </w:rPr>
        <w:t>Industry partnerships, investment, and commercialization.</w:t>
      </w:r>
    </w:p>
    <w:p>
      <w:pPr>
        <w:pStyle w:val="ListBullet"/>
        <w:spacing w:after="60"/>
        <w:ind w:left="360" w:hanging="202"/>
      </w:pPr>
      <w:r>
        <w:rPr>
          <w:rFonts w:ascii="Aptos" w:hAnsi="Aptos"/>
          <w:b w:val="0"/>
          <w:color w:val="000000"/>
          <w:sz w:val="20"/>
        </w:rPr>
        <w:t>Connections among established companies, startups, researchers, and service providers.</w:t>
      </w:r>
    </w:p>
    <w:p>
      <w:pPr>
        <w:pStyle w:val="ListBullet"/>
        <w:spacing w:after="60"/>
        <w:ind w:left="360" w:hanging="202"/>
      </w:pPr>
      <w:r>
        <w:rPr>
          <w:rFonts w:ascii="Aptos" w:hAnsi="Aptos"/>
          <w:b w:val="0"/>
          <w:color w:val="000000"/>
          <w:sz w:val="20"/>
        </w:rPr>
        <w:t>Career development and support for emerging life science leaders.</w:t>
      </w:r>
    </w:p>
    <w:p>
      <w:pPr>
        <w:pStyle w:val="Heading2"/>
      </w:pPr>
      <w:r>
        <w:t>Annual Recognition</w:t>
      </w:r>
    </w:p>
    <w:p>
      <w:pPr>
        <w:spacing w:after="140" w:line="274" w:lineRule="auto"/>
      </w:pPr>
      <w:r>
        <w:rPr>
          <w:rFonts w:ascii="Aptos" w:hAnsi="Aptos"/>
          <w:b w:val="0"/>
          <w:color w:val="000000"/>
          <w:sz w:val="21"/>
        </w:rPr>
        <w:t>All sponsor levels receive twelve months of recognition from KAPAL’s receipt of the confirmed commitment and payment. Placement, logo size, frequency, and individual versus grouped recognition vary by level.</w:t>
      </w:r>
    </w:p>
    <w:p>
      <w:r>
        <w:br w:type="page"/>
      </w:r>
    </w:p>
    <w:p>
      <w:pPr>
        <w:pStyle w:val="Heading1"/>
      </w:pPr>
      <w:r>
        <w:t>Sponsorship Levels and Core Benefits</w:t>
      </w:r>
    </w:p>
    <w:p>
      <w:pPr>
        <w:spacing w:after="140" w:line="274" w:lineRule="auto"/>
      </w:pPr>
      <w:r>
        <w:rPr>
          <w:rFonts w:ascii="Aptos" w:hAnsi="Aptos"/>
          <w:b w:val="0"/>
          <w:color w:val="000000"/>
          <w:sz w:val="21"/>
        </w:rPr>
        <w:t>The table below contains the standard benefits. Additional Centurion and Diamond benefits appear on the following page.</w:t>
      </w:r>
    </w:p>
    <w:tbl>
      <w:tblPr>
        <w:tblW w:type="auto" w:w="0"/>
        <w:jc w:val="center"/>
        <w:tblLayout w:type="fixed"/>
        <w:tblLook w:firstColumn="1" w:firstRow="1" w:lastColumn="0" w:lastRow="0" w:noHBand="0" w:noVBand="1" w:val="04A0"/>
        <w:tblBorders>
          <w:top w:val="single" w:sz="6" w:color="D9D9D9"/>
          <w:start w:val="single" w:sz="6" w:color="D9D9D9"/>
          <w:bottom w:val="single" w:sz="6" w:color="D9D9D9"/>
          <w:end w:val="single" w:sz="6" w:color="D9D9D9"/>
          <w:insideH w:val="single" w:sz="6" w:color="D9D9D9"/>
          <w:insideV w:val="single" w:sz="6" w:color="D9D9D9"/>
        </w:tblBorders>
      </w:tblPr>
      <w:tblGrid>
        <w:gridCol w:w="1452"/>
        <w:gridCol w:w="1452"/>
        <w:gridCol w:w="1452"/>
        <w:gridCol w:w="1452"/>
        <w:gridCol w:w="1452"/>
        <w:gridCol w:w="1452"/>
        <w:gridCol w:w="1452"/>
      </w:tblGrid>
      <w:tr>
        <w:trPr>
          <w:tblHeader w:val="true"/>
        </w:trPr>
        <w:tc>
          <w:tcPr>
            <w:tcW w:type="dxa" w:w="1468"/>
            <w:tcMar>
              <w:top w:w="105" w:type="dxa"/>
              <w:start w:w="105" w:type="dxa"/>
              <w:bottom w:w="105" w:type="dxa"/>
              <w:end w:w="105" w:type="dxa"/>
            </w:tcMar>
            <w:shd w:fill="123A63"/>
            <w:vAlign w:val="center"/>
          </w:tcPr>
          <w:p>
            <w:pPr>
              <w:spacing w:after="0"/>
              <w:jc w:val="center"/>
            </w:pPr>
            <w:r>
              <w:rPr>
                <w:rFonts w:ascii="Aptos" w:hAnsi="Aptos"/>
                <w:b/>
                <w:color w:val="FFFFFF"/>
                <w:sz w:val="17"/>
              </w:rPr>
              <w:t>Level</w:t>
            </w:r>
          </w:p>
        </w:tc>
        <w:tc>
          <w:tcPr>
            <w:tcW w:type="dxa" w:w="1180"/>
            <w:tcMar>
              <w:top w:w="105" w:type="dxa"/>
              <w:start w:w="105" w:type="dxa"/>
              <w:bottom w:w="105" w:type="dxa"/>
              <w:end w:w="105" w:type="dxa"/>
            </w:tcMar>
            <w:shd w:fill="123A63"/>
            <w:vAlign w:val="center"/>
          </w:tcPr>
          <w:p>
            <w:pPr>
              <w:spacing w:after="0"/>
              <w:jc w:val="center"/>
            </w:pPr>
            <w:r>
              <w:rPr>
                <w:rFonts w:ascii="Aptos" w:hAnsi="Aptos"/>
                <w:b/>
                <w:color w:val="FFFFFF"/>
                <w:sz w:val="17"/>
              </w:rPr>
              <w:t>Amount</w:t>
            </w:r>
          </w:p>
        </w:tc>
        <w:tc>
          <w:tcPr>
            <w:tcW w:type="dxa" w:w="2520"/>
            <w:tcMar>
              <w:top w:w="105" w:type="dxa"/>
              <w:start w:w="105" w:type="dxa"/>
              <w:bottom w:w="105" w:type="dxa"/>
              <w:end w:w="105" w:type="dxa"/>
            </w:tcMar>
            <w:shd w:fill="123A63"/>
            <w:vAlign w:val="center"/>
          </w:tcPr>
          <w:p>
            <w:pPr>
              <w:spacing w:after="0"/>
              <w:jc w:val="center"/>
            </w:pPr>
            <w:r>
              <w:rPr>
                <w:rFonts w:ascii="Aptos" w:hAnsi="Aptos"/>
                <w:b/>
                <w:color w:val="FFFFFF"/>
                <w:sz w:val="17"/>
              </w:rPr>
              <w:t>12-month website recognition</w:t>
            </w:r>
          </w:p>
        </w:tc>
        <w:tc>
          <w:tcPr>
            <w:tcW w:type="dxa" w:w="1512"/>
            <w:tcMar>
              <w:top w:w="105" w:type="dxa"/>
              <w:start w:w="105" w:type="dxa"/>
              <w:bottom w:w="105" w:type="dxa"/>
              <w:end w:w="105" w:type="dxa"/>
            </w:tcMar>
            <w:shd w:fill="123A63"/>
            <w:vAlign w:val="center"/>
          </w:tcPr>
          <w:p>
            <w:pPr>
              <w:spacing w:after="0"/>
              <w:jc w:val="center"/>
            </w:pPr>
            <w:r>
              <w:rPr>
                <w:rFonts w:ascii="Aptos" w:hAnsi="Aptos"/>
                <w:b/>
                <w:color w:val="FFFFFF"/>
                <w:sz w:val="17"/>
              </w:rPr>
              <w:t>Program ad</w:t>
            </w:r>
          </w:p>
        </w:tc>
        <w:tc>
          <w:tcPr>
            <w:tcW w:type="dxa" w:w="792"/>
            <w:tcMar>
              <w:top w:w="105" w:type="dxa"/>
              <w:start w:w="105" w:type="dxa"/>
              <w:bottom w:w="105" w:type="dxa"/>
              <w:end w:w="105" w:type="dxa"/>
            </w:tcMar>
            <w:shd w:fill="123A63"/>
            <w:vAlign w:val="center"/>
          </w:tcPr>
          <w:p>
            <w:pPr>
              <w:spacing w:after="0"/>
              <w:jc w:val="center"/>
            </w:pPr>
            <w:r>
              <w:rPr>
                <w:rFonts w:ascii="Aptos" w:hAnsi="Aptos"/>
                <w:b/>
                <w:color w:val="FFFFFF"/>
                <w:sz w:val="17"/>
              </w:rPr>
              <w:t>Regs.</w:t>
            </w:r>
          </w:p>
        </w:tc>
        <w:tc>
          <w:tcPr>
            <w:tcW w:type="dxa" w:w="1152"/>
            <w:tcMar>
              <w:top w:w="105" w:type="dxa"/>
              <w:start w:w="105" w:type="dxa"/>
              <w:bottom w:w="105" w:type="dxa"/>
              <w:end w:w="105" w:type="dxa"/>
            </w:tcMar>
            <w:shd w:fill="123A63"/>
            <w:vAlign w:val="center"/>
          </w:tcPr>
          <w:p>
            <w:pPr>
              <w:spacing w:after="0"/>
              <w:jc w:val="center"/>
            </w:pPr>
            <w:r>
              <w:rPr>
                <w:rFonts w:ascii="Aptos" w:hAnsi="Aptos"/>
                <w:b/>
                <w:color w:val="FFFFFF"/>
                <w:sz w:val="17"/>
              </w:rPr>
              <w:t>Booth</w:t>
            </w:r>
          </w:p>
        </w:tc>
        <w:tc>
          <w:tcPr>
            <w:tcW w:type="dxa" w:w="1512"/>
            <w:tcMar>
              <w:top w:w="105" w:type="dxa"/>
              <w:start w:w="105" w:type="dxa"/>
              <w:bottom w:w="105" w:type="dxa"/>
              <w:end w:w="105" w:type="dxa"/>
            </w:tcMar>
            <w:shd w:fill="123A63"/>
            <w:vAlign w:val="center"/>
          </w:tcPr>
          <w:p>
            <w:pPr>
              <w:spacing w:after="0"/>
              <w:jc w:val="center"/>
            </w:pPr>
            <w:r>
              <w:rPr>
                <w:rFonts w:ascii="Aptos" w:hAnsi="Aptos"/>
                <w:b/>
                <w:color w:val="FFFFFF"/>
                <w:sz w:val="17"/>
              </w:rPr>
              <w:t>On-site/program</w:t>
            </w:r>
          </w:p>
        </w:tc>
      </w:tr>
      <w:tr>
        <w:tc>
          <w:tcPr>
            <w:tcW w:type="dxa" w:w="1468"/>
            <w:tcMar>
              <w:top w:w="100" w:type="dxa"/>
              <w:start w:w="100" w:type="dxa"/>
              <w:bottom w:w="100" w:type="dxa"/>
              <w:end w:w="100" w:type="dxa"/>
            </w:tcMar>
            <w:vAlign w:val="center"/>
          </w:tcPr>
          <w:p>
            <w:pPr>
              <w:spacing w:after="0" w:line="252" w:lineRule="auto"/>
              <w:jc w:val="left"/>
            </w:pPr>
            <w:r>
              <w:rPr>
                <w:rFonts w:ascii="Aptos" w:hAnsi="Aptos"/>
                <w:b/>
                <w:color w:val="000000"/>
                <w:sz w:val="15"/>
              </w:rPr>
              <w:t>Centurion</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5"/>
              </w:rPr>
              <w:t>$15,000+</w:t>
            </w:r>
          </w:p>
        </w:tc>
        <w:tc>
          <w:tcPr>
            <w:tcW w:type="dxa" w:w="2520"/>
            <w:tcMar>
              <w:top w:w="100" w:type="dxa"/>
              <w:start w:w="100" w:type="dxa"/>
              <w:bottom w:w="100" w:type="dxa"/>
              <w:end w:w="100" w:type="dxa"/>
            </w:tcMar>
            <w:vAlign w:val="center"/>
          </w:tcPr>
          <w:p>
            <w:pPr>
              <w:spacing w:after="0" w:line="252" w:lineRule="auto"/>
              <w:jc w:val="left"/>
            </w:pPr>
            <w:r>
              <w:rPr>
                <w:rFonts w:ascii="Aptos" w:hAnsi="Aptos"/>
                <w:b w:val="0"/>
                <w:color w:val="000000"/>
                <w:sz w:val="15"/>
              </w:rPr>
              <w:t>Premier homepage placement</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Premium full page¹</w:t>
            </w:r>
          </w:p>
        </w:tc>
        <w:tc>
          <w:tcPr>
            <w:tcW w:type="dxa" w:w="792"/>
            <w:tcMar>
              <w:top w:w="100" w:type="dxa"/>
              <w:start w:w="100" w:type="dxa"/>
              <w:bottom w:w="100" w:type="dxa"/>
              <w:end w:w="100" w:type="dxa"/>
            </w:tcMar>
            <w:vAlign w:val="center"/>
          </w:tcPr>
          <w:p>
            <w:pPr>
              <w:spacing w:after="0" w:line="252" w:lineRule="auto"/>
              <w:jc w:val="center"/>
            </w:pPr>
            <w:r>
              <w:rPr>
                <w:rFonts w:ascii="Aptos" w:hAnsi="Aptos"/>
                <w:b w:val="0"/>
                <w:color w:val="000000"/>
                <w:sz w:val="15"/>
              </w:rPr>
              <w:t>10</w:t>
            </w:r>
          </w:p>
        </w:tc>
        <w:tc>
          <w:tcPr>
            <w:tcW w:type="dxa" w:w="1152"/>
            <w:tcMar>
              <w:top w:w="100" w:type="dxa"/>
              <w:start w:w="100" w:type="dxa"/>
              <w:bottom w:w="100" w:type="dxa"/>
              <w:end w:w="100" w:type="dxa"/>
            </w:tcMar>
            <w:vAlign w:val="center"/>
          </w:tcPr>
          <w:p>
            <w:pPr>
              <w:spacing w:after="0" w:line="252" w:lineRule="auto"/>
              <w:jc w:val="center"/>
            </w:pPr>
            <w:r>
              <w:rPr>
                <w:rFonts w:ascii="Aptos" w:hAnsi="Aptos"/>
                <w:b w:val="0"/>
                <w:color w:val="000000"/>
                <w:sz w:val="15"/>
              </w:rPr>
              <w:t>Premium</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Program role²</w:t>
            </w:r>
          </w:p>
        </w:tc>
      </w:tr>
      <w:tr>
        <w:tc>
          <w:tcPr>
            <w:tcW w:type="dxa" w:w="1468"/>
            <w:tcMar>
              <w:top w:w="100" w:type="dxa"/>
              <w:start w:w="100" w:type="dxa"/>
              <w:bottom w:w="100" w:type="dxa"/>
              <w:end w:w="100" w:type="dxa"/>
            </w:tcMar>
            <w:vAlign w:val="center"/>
            <w:shd w:fill="EDF4FA"/>
          </w:tcPr>
          <w:p>
            <w:pPr>
              <w:spacing w:after="0" w:line="252" w:lineRule="auto"/>
              <w:jc w:val="left"/>
            </w:pPr>
            <w:r>
              <w:rPr>
                <w:rFonts w:ascii="Aptos" w:hAnsi="Aptos"/>
                <w:b/>
                <w:color w:val="000000"/>
                <w:sz w:val="15"/>
              </w:rPr>
              <w:t>Diamond</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$10,000</w:t>
            </w:r>
          </w:p>
        </w:tc>
        <w:tc>
          <w:tcPr>
            <w:tcW w:type="dxa" w:w="252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5"/>
              </w:rPr>
              <w:t>Prominent homepage placement</w:t>
            </w:r>
          </w:p>
        </w:tc>
        <w:tc>
          <w:tcPr>
            <w:tcW w:type="dxa" w:w="151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Full page</w:t>
            </w:r>
          </w:p>
        </w:tc>
        <w:tc>
          <w:tcPr>
            <w:tcW w:type="dxa" w:w="79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7</w:t>
            </w:r>
          </w:p>
        </w:tc>
        <w:tc>
          <w:tcPr>
            <w:tcW w:type="dxa" w:w="115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Included</w:t>
            </w:r>
          </w:p>
        </w:tc>
        <w:tc>
          <w:tcPr>
            <w:tcW w:type="dxa" w:w="151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Prominent recognition</w:t>
            </w:r>
          </w:p>
        </w:tc>
      </w:tr>
      <w:tr>
        <w:tc>
          <w:tcPr>
            <w:tcW w:type="dxa" w:w="1468"/>
            <w:tcMar>
              <w:top w:w="100" w:type="dxa"/>
              <w:start w:w="100" w:type="dxa"/>
              <w:bottom w:w="100" w:type="dxa"/>
              <w:end w:w="100" w:type="dxa"/>
            </w:tcMar>
            <w:vAlign w:val="center"/>
          </w:tcPr>
          <w:p>
            <w:pPr>
              <w:spacing w:after="0" w:line="252" w:lineRule="auto"/>
              <w:jc w:val="left"/>
            </w:pPr>
            <w:r>
              <w:rPr>
                <w:rFonts w:ascii="Aptos" w:hAnsi="Aptos"/>
                <w:b/>
                <w:color w:val="000000"/>
                <w:sz w:val="15"/>
              </w:rPr>
              <w:t>Platinum</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5"/>
              </w:rPr>
              <w:t>$5,000</w:t>
            </w:r>
          </w:p>
        </w:tc>
        <w:tc>
          <w:tcPr>
            <w:tcW w:type="dxa" w:w="2520"/>
            <w:tcMar>
              <w:top w:w="100" w:type="dxa"/>
              <w:start w:w="100" w:type="dxa"/>
              <w:bottom w:w="100" w:type="dxa"/>
              <w:end w:w="100" w:type="dxa"/>
            </w:tcMar>
            <w:vAlign w:val="center"/>
          </w:tcPr>
          <w:p>
            <w:pPr>
              <w:spacing w:after="0" w:line="252" w:lineRule="auto"/>
              <w:jc w:val="left"/>
            </w:pPr>
            <w:r>
              <w:rPr>
                <w:rFonts w:ascii="Aptos" w:hAnsi="Aptos"/>
                <w:b w:val="0"/>
                <w:color w:val="000000"/>
                <w:sz w:val="15"/>
              </w:rPr>
              <w:t>Enhanced sponsor-page logo</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Full page</w:t>
            </w:r>
          </w:p>
        </w:tc>
        <w:tc>
          <w:tcPr>
            <w:tcW w:type="dxa" w:w="792"/>
            <w:tcMar>
              <w:top w:w="100" w:type="dxa"/>
              <w:start w:w="100" w:type="dxa"/>
              <w:bottom w:w="100" w:type="dxa"/>
              <w:end w:w="100" w:type="dxa"/>
            </w:tcMar>
            <w:vAlign w:val="center"/>
          </w:tcPr>
          <w:p>
            <w:pPr>
              <w:spacing w:after="0" w:line="252" w:lineRule="auto"/>
              <w:jc w:val="center"/>
            </w:pPr>
            <w:r>
              <w:rPr>
                <w:rFonts w:ascii="Aptos" w:hAnsi="Aptos"/>
                <w:b w:val="0"/>
                <w:color w:val="000000"/>
                <w:sz w:val="15"/>
              </w:rPr>
              <w:t>4</w:t>
            </w:r>
          </w:p>
        </w:tc>
        <w:tc>
          <w:tcPr>
            <w:tcW w:type="dxa" w:w="1152"/>
            <w:tcMar>
              <w:top w:w="100" w:type="dxa"/>
              <w:start w:w="100" w:type="dxa"/>
              <w:bottom w:w="100" w:type="dxa"/>
              <w:end w:w="100" w:type="dxa"/>
            </w:tcMar>
            <w:vAlign w:val="center"/>
          </w:tcPr>
          <w:p>
            <w:pPr>
              <w:spacing w:after="0" w:line="252" w:lineRule="auto"/>
              <w:jc w:val="center"/>
            </w:pPr>
            <w:r>
              <w:rPr>
                <w:rFonts w:ascii="Aptos" w:hAnsi="Aptos"/>
                <w:b w:val="0"/>
                <w:color w:val="000000"/>
                <w:sz w:val="15"/>
              </w:rPr>
              <w:t>Included</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Session acknowledgment</w:t>
            </w:r>
          </w:p>
        </w:tc>
      </w:tr>
      <w:tr>
        <w:tc>
          <w:tcPr>
            <w:tcW w:type="dxa" w:w="1468"/>
            <w:tcMar>
              <w:top w:w="100" w:type="dxa"/>
              <w:start w:w="100" w:type="dxa"/>
              <w:bottom w:w="100" w:type="dxa"/>
              <w:end w:w="100" w:type="dxa"/>
            </w:tcMar>
            <w:vAlign w:val="center"/>
            <w:shd w:fill="EDF4FA"/>
          </w:tcPr>
          <w:p>
            <w:pPr>
              <w:spacing w:after="0" w:line="252" w:lineRule="auto"/>
              <w:jc w:val="left"/>
            </w:pPr>
            <w:r>
              <w:rPr>
                <w:rFonts w:ascii="Aptos" w:hAnsi="Aptos"/>
                <w:b/>
                <w:color w:val="000000"/>
                <w:sz w:val="15"/>
              </w:rPr>
              <w:t>Gold</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$3,000</w:t>
            </w:r>
          </w:p>
        </w:tc>
        <w:tc>
          <w:tcPr>
            <w:tcW w:type="dxa" w:w="252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5"/>
              </w:rPr>
              <w:t>Standard sponsor-page logo</w:t>
            </w:r>
          </w:p>
        </w:tc>
        <w:tc>
          <w:tcPr>
            <w:tcW w:type="dxa" w:w="151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Half page</w:t>
            </w:r>
          </w:p>
        </w:tc>
        <w:tc>
          <w:tcPr>
            <w:tcW w:type="dxa" w:w="79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2</w:t>
            </w:r>
          </w:p>
        </w:tc>
        <w:tc>
          <w:tcPr>
            <w:tcW w:type="dxa" w:w="115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Discounted</w:t>
            </w:r>
          </w:p>
        </w:tc>
        <w:tc>
          <w:tcPr>
            <w:tcW w:type="dxa" w:w="1512"/>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5"/>
              </w:rPr>
              <w:t>Grouped recognition</w:t>
            </w:r>
          </w:p>
        </w:tc>
      </w:tr>
      <w:tr>
        <w:tc>
          <w:tcPr>
            <w:tcW w:type="dxa" w:w="1468"/>
            <w:tcMar>
              <w:top w:w="100" w:type="dxa"/>
              <w:start w:w="100" w:type="dxa"/>
              <w:bottom w:w="100" w:type="dxa"/>
              <w:end w:w="100" w:type="dxa"/>
            </w:tcMar>
            <w:vAlign w:val="center"/>
          </w:tcPr>
          <w:p>
            <w:pPr>
              <w:spacing w:after="0" w:line="252" w:lineRule="auto"/>
              <w:jc w:val="left"/>
            </w:pPr>
            <w:r>
              <w:rPr>
                <w:rFonts w:ascii="Aptos" w:hAnsi="Aptos"/>
                <w:b/>
                <w:color w:val="000000"/>
                <w:sz w:val="15"/>
              </w:rPr>
              <w:t>Silver</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5"/>
              </w:rPr>
              <w:t>$1,000</w:t>
            </w:r>
          </w:p>
        </w:tc>
        <w:tc>
          <w:tcPr>
            <w:tcW w:type="dxa" w:w="2520"/>
            <w:tcMar>
              <w:top w:w="100" w:type="dxa"/>
              <w:start w:w="100" w:type="dxa"/>
              <w:bottom w:w="100" w:type="dxa"/>
              <w:end w:w="100" w:type="dxa"/>
            </w:tcMar>
            <w:vAlign w:val="center"/>
          </w:tcPr>
          <w:p>
            <w:pPr>
              <w:spacing w:after="0" w:line="252" w:lineRule="auto"/>
              <w:jc w:val="left"/>
            </w:pPr>
            <w:r>
              <w:rPr>
                <w:rFonts w:ascii="Aptos" w:hAnsi="Aptos"/>
                <w:b w:val="0"/>
                <w:color w:val="000000"/>
                <w:sz w:val="15"/>
              </w:rPr>
              <w:t>Compact logo or name</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Quarter page</w:t>
            </w:r>
          </w:p>
        </w:tc>
        <w:tc>
          <w:tcPr>
            <w:tcW w:type="dxa" w:w="792"/>
            <w:tcMar>
              <w:top w:w="100" w:type="dxa"/>
              <w:start w:w="100" w:type="dxa"/>
              <w:bottom w:w="100" w:type="dxa"/>
              <w:end w:w="100" w:type="dxa"/>
            </w:tcMar>
            <w:vAlign w:val="center"/>
          </w:tcPr>
          <w:p>
            <w:pPr>
              <w:spacing w:after="0" w:line="252" w:lineRule="auto"/>
              <w:jc w:val="center"/>
            </w:pPr>
            <w:r>
              <w:rPr>
                <w:rFonts w:ascii="Aptos" w:hAnsi="Aptos"/>
                <w:b w:val="0"/>
                <w:color w:val="000000"/>
                <w:sz w:val="15"/>
              </w:rPr>
              <w:t>1</w:t>
            </w:r>
          </w:p>
        </w:tc>
        <w:tc>
          <w:tcPr>
            <w:tcW w:type="dxa" w:w="1152"/>
            <w:tcMar>
              <w:top w:w="100" w:type="dxa"/>
              <w:start w:w="100" w:type="dxa"/>
              <w:bottom w:w="100" w:type="dxa"/>
              <w:end w:w="100" w:type="dxa"/>
            </w:tcMar>
            <w:vAlign w:val="center"/>
          </w:tcPr>
          <w:p>
            <w:pPr>
              <w:spacing w:after="0" w:line="252" w:lineRule="auto"/>
              <w:jc w:val="center"/>
            </w:pPr>
            <w:r>
              <w:rPr>
                <w:rFonts w:ascii="Aptos" w:hAnsi="Aptos"/>
                <w:b w:val="0"/>
                <w:color w:val="000000"/>
                <w:sz w:val="15"/>
              </w:rPr>
              <w:t>Add-on</w:t>
            </w:r>
          </w:p>
        </w:tc>
        <w:tc>
          <w:tcPr>
            <w:tcW w:type="dxa" w:w="1512"/>
            <w:tcMar>
              <w:top w:w="100" w:type="dxa"/>
              <w:start w:w="100" w:type="dxa"/>
              <w:bottom w:w="100" w:type="dxa"/>
              <w:end w:w="100" w:type="dxa"/>
            </w:tcMar>
            <w:vAlign w:val="center"/>
          </w:tcPr>
          <w:p>
            <w:pPr>
              <w:spacing w:after="0" w:line="252" w:lineRule="auto"/>
              <w:jc w:val="center"/>
            </w:pPr>
            <w:r>
              <w:rPr>
                <w:rFonts w:ascii="Aptos" w:hAnsi="Aptos"/>
                <w:b w:val="0"/>
                <w:color w:val="000000"/>
                <w:sz w:val="15"/>
              </w:rPr>
              <w:t>Grouped recognition</w:t>
            </w:r>
          </w:p>
        </w:tc>
      </w:tr>
    </w:tbl>
    <w:p>
      <w:pPr>
        <w:spacing w:after="0"/>
      </w:pPr>
    </w:p>
    <w:p>
      <w:pPr>
        <w:pStyle w:val="Heading2"/>
      </w:pPr>
      <w:r>
        <w:t>Included at Every Level</w:t>
      </w:r>
    </w:p>
    <w:p>
      <w:pPr>
        <w:pStyle w:val="ListBullet"/>
        <w:spacing w:after="60"/>
        <w:ind w:left="360" w:hanging="202"/>
      </w:pPr>
      <w:r>
        <w:rPr>
          <w:rFonts w:ascii="Aptos" w:hAnsi="Aptos"/>
          <w:b w:val="0"/>
          <w:color w:val="000000"/>
          <w:sz w:val="20"/>
        </w:rPr>
        <w:t>Recognition on the conference website, program, sponsor slides, and designated signage.</w:t>
      </w:r>
    </w:p>
    <w:p>
      <w:pPr>
        <w:pStyle w:val="ListBullet"/>
        <w:spacing w:after="60"/>
        <w:ind w:left="360" w:hanging="202"/>
      </w:pPr>
      <w:r>
        <w:rPr>
          <w:rFonts w:ascii="Aptos" w:hAnsi="Aptos"/>
          <w:b w:val="0"/>
          <w:color w:val="000000"/>
          <w:sz w:val="20"/>
        </w:rPr>
        <w:t>Twelve months of website recognition, with placement based on sponsor level.</w:t>
      </w:r>
    </w:p>
    <w:p>
      <w:pPr>
        <w:pStyle w:val="ListBullet"/>
        <w:spacing w:after="60"/>
        <w:ind w:left="360" w:hanging="202"/>
      </w:pPr>
      <w:r>
        <w:rPr>
          <w:rFonts w:ascii="Aptos" w:hAnsi="Aptos"/>
          <w:b w:val="0"/>
          <w:color w:val="000000"/>
          <w:sz w:val="20"/>
        </w:rPr>
        <w:t>Use of the applicable KAPAL sponsor designation during the recognition period.</w:t>
      </w:r>
    </w:p>
    <w:p>
      <w:pPr>
        <w:spacing w:after="60" w:line="274" w:lineRule="auto"/>
      </w:pPr>
      <w:r>
        <w:rPr>
          <w:rFonts w:ascii="Aptos" w:hAnsi="Aptos"/>
          <w:b w:val="0"/>
          <w:color w:val="000000"/>
          <w:sz w:val="17"/>
        </w:rPr>
        <w:t>¹ Cover and premium positions depend on availability and written confirmation.</w:t>
      </w:r>
    </w:p>
    <w:p>
      <w:pPr>
        <w:spacing w:after="60" w:line="274" w:lineRule="auto"/>
      </w:pPr>
      <w:r>
        <w:rPr>
          <w:rFonts w:ascii="Aptos" w:hAnsi="Aptos"/>
          <w:b w:val="0"/>
          <w:color w:val="000000"/>
          <w:sz w:val="17"/>
        </w:rPr>
        <w:t>² Speaker, topic, format, and timing require KAPAL approval. Promotional sales presentations are not permitted within the educational program.</w:t>
      </w:r>
    </w:p>
    <w:p>
      <w:pPr>
        <w:pStyle w:val="Heading2"/>
      </w:pPr>
      <w:r>
        <w:t>Stage Branding</w:t>
      </w:r>
    </w:p>
    <w:p>
      <w:pPr>
        <w:spacing w:after="140" w:line="274" w:lineRule="auto"/>
      </w:pPr>
      <w:r>
        <w:rPr>
          <w:rFonts w:ascii="Aptos" w:hAnsi="Aptos"/>
          <w:b w:val="0"/>
          <w:color w:val="000000"/>
          <w:sz w:val="21"/>
        </w:rPr>
        <w:t>KAPAL will keep the podium and lectern visually clean. Sponsor logos will appear on stage slides, sponsor walls, digital displays, or designated signs. Centurion receives individual treatment, Diamond receives prominent placement, and other sponsors receive grouped recognition.</w:t>
      </w:r>
    </w:p>
    <w:p>
      <w:r>
        <w:br w:type="page"/>
      </w:r>
    </w:p>
    <w:p>
      <w:pPr>
        <w:pStyle w:val="Heading1"/>
      </w:pPr>
      <w:r>
        <w:t>Additional Benefits for Top-Level Partners</w:t>
      </w:r>
    </w:p>
    <w:p>
      <w:pPr>
        <w:pStyle w:val="Heading2"/>
      </w:pPr>
      <w:r>
        <w:t>Centurion Annual Corporate Partner | $15,000+</w:t>
      </w:r>
    </w:p>
    <w:p>
      <w:pPr>
        <w:pStyle w:val="ListBullet"/>
        <w:spacing w:after="60"/>
        <w:ind w:left="360" w:hanging="202"/>
      </w:pPr>
      <w:r>
        <w:rPr>
          <w:rFonts w:ascii="Aptos" w:hAnsi="Aptos"/>
          <w:b w:val="0"/>
          <w:color w:val="000000"/>
          <w:sz w:val="20"/>
        </w:rPr>
        <w:t>Individual recognition during opening and closing sessions.</w:t>
      </w:r>
    </w:p>
    <w:p>
      <w:pPr>
        <w:pStyle w:val="ListBullet"/>
        <w:spacing w:after="60"/>
        <w:ind w:left="360" w:hanging="202"/>
      </w:pPr>
      <w:r>
        <w:rPr>
          <w:rFonts w:ascii="Aptos" w:hAnsi="Aptos"/>
          <w:b w:val="0"/>
          <w:color w:val="000000"/>
          <w:sz w:val="20"/>
        </w:rPr>
        <w:t>One KAPAL-approved thought leadership role, such as a panel, executive roundtable, educational session, or brief welcome message.</w:t>
      </w:r>
    </w:p>
    <w:p>
      <w:pPr>
        <w:pStyle w:val="ListBullet"/>
        <w:spacing w:after="60"/>
        <w:ind w:left="360" w:hanging="202"/>
      </w:pPr>
      <w:r>
        <w:rPr>
          <w:rFonts w:ascii="Aptos" w:hAnsi="Aptos"/>
          <w:b w:val="0"/>
          <w:color w:val="000000"/>
          <w:sz w:val="20"/>
        </w:rPr>
        <w:t>Four VIP reception invitations in addition to the ten conference registrations.</w:t>
      </w:r>
    </w:p>
    <w:p>
      <w:pPr>
        <w:pStyle w:val="ListBullet"/>
        <w:spacing w:after="60"/>
        <w:ind w:left="360" w:hanging="202"/>
      </w:pPr>
      <w:r>
        <w:rPr>
          <w:rFonts w:ascii="Aptos" w:hAnsi="Aptos"/>
          <w:b w:val="0"/>
          <w:color w:val="000000"/>
          <w:sz w:val="20"/>
        </w:rPr>
        <w:t>One annual sponsor spotlight and up to six career opportunity postings.</w:t>
      </w:r>
    </w:p>
    <w:p>
      <w:pPr>
        <w:pStyle w:val="ListBullet"/>
        <w:spacing w:after="60"/>
        <w:ind w:left="360" w:hanging="202"/>
      </w:pPr>
      <w:r>
        <w:rPr>
          <w:rFonts w:ascii="Aptos" w:hAnsi="Aptos"/>
          <w:b w:val="0"/>
          <w:color w:val="000000"/>
          <w:sz w:val="20"/>
        </w:rPr>
        <w:t>One employee webinar, mentoring session, or comparable program developed with KAPAL.</w:t>
      </w:r>
    </w:p>
    <w:p>
      <w:pPr>
        <w:pStyle w:val="ListBullet"/>
        <w:spacing w:after="60"/>
        <w:ind w:left="360" w:hanging="202"/>
      </w:pPr>
      <w:r>
        <w:rPr>
          <w:rFonts w:ascii="Aptos" w:hAnsi="Aptos"/>
          <w:b w:val="0"/>
          <w:color w:val="000000"/>
          <w:sz w:val="20"/>
        </w:rPr>
        <w:t>Invitation for one senior executive to join the non-voting Corporate Advisory Council for one year.</w:t>
      </w:r>
    </w:p>
    <w:p>
      <w:pPr>
        <w:pStyle w:val="ListBullet"/>
        <w:spacing w:after="60"/>
        <w:ind w:left="360" w:hanging="202"/>
      </w:pPr>
      <w:r>
        <w:rPr>
          <w:rFonts w:ascii="Aptos" w:hAnsi="Aptos"/>
          <w:b w:val="0"/>
          <w:color w:val="000000"/>
          <w:sz w:val="20"/>
        </w:rPr>
        <w:t>Eligibility to recommend one qualified individual for KAPAL’s separate board nomination process.</w:t>
      </w:r>
    </w:p>
    <w:p>
      <w:pPr>
        <w:pStyle w:val="ListBullet"/>
        <w:spacing w:after="60"/>
        <w:ind w:left="360" w:hanging="202"/>
      </w:pPr>
      <w:r>
        <w:rPr>
          <w:rFonts w:ascii="Aptos" w:hAnsi="Aptos"/>
          <w:b w:val="0"/>
          <w:color w:val="000000"/>
          <w:sz w:val="20"/>
        </w:rPr>
        <w:t>Quarterly partnership review and a customized post-conference impact summary.</w:t>
      </w:r>
    </w:p>
    <w:p>
      <w:pPr>
        <w:pStyle w:val="Heading2"/>
      </w:pPr>
      <w:r>
        <w:t>Diamond Sponsor | $10,000</w:t>
      </w:r>
    </w:p>
    <w:p>
      <w:pPr>
        <w:pStyle w:val="ListBullet"/>
        <w:spacing w:after="60"/>
        <w:ind w:left="360" w:hanging="202"/>
      </w:pPr>
      <w:r>
        <w:rPr>
          <w:rFonts w:ascii="Aptos" w:hAnsi="Aptos"/>
          <w:b w:val="0"/>
          <w:color w:val="000000"/>
          <w:sz w:val="20"/>
        </w:rPr>
        <w:t>Prominent grouped recognition during a general or designated conference session.</w:t>
      </w:r>
    </w:p>
    <w:p>
      <w:pPr>
        <w:pStyle w:val="ListBullet"/>
        <w:spacing w:after="60"/>
        <w:ind w:left="360" w:hanging="202"/>
      </w:pPr>
      <w:r>
        <w:rPr>
          <w:rFonts w:ascii="Aptos" w:hAnsi="Aptos"/>
          <w:b w:val="0"/>
          <w:color w:val="000000"/>
          <w:sz w:val="20"/>
        </w:rPr>
        <w:t>Two VIP reception invitations in addition to the seven conference registrations.</w:t>
      </w:r>
    </w:p>
    <w:p>
      <w:pPr>
        <w:pStyle w:val="ListBullet"/>
        <w:spacing w:after="60"/>
        <w:ind w:left="360" w:hanging="202"/>
      </w:pPr>
      <w:r>
        <w:rPr>
          <w:rFonts w:ascii="Aptos" w:hAnsi="Aptos"/>
          <w:b w:val="0"/>
          <w:color w:val="000000"/>
          <w:sz w:val="20"/>
        </w:rPr>
        <w:t>One sponsor spotlight and up to three career opportunity postings.</w:t>
      </w:r>
    </w:p>
    <w:p>
      <w:pPr>
        <w:pStyle w:val="ListBullet"/>
        <w:spacing w:after="60"/>
        <w:ind w:left="360" w:hanging="202"/>
      </w:pPr>
      <w:r>
        <w:rPr>
          <w:rFonts w:ascii="Aptos" w:hAnsi="Aptos"/>
          <w:b w:val="0"/>
          <w:color w:val="000000"/>
          <w:sz w:val="20"/>
        </w:rPr>
        <w:t>One annual partnership review and a standard post-conference summary.</w:t>
      </w:r>
    </w:p>
    <w:p>
      <w:pPr>
        <w:pStyle w:val="Heading2"/>
      </w:pPr>
      <w:r>
        <w:t>Centurion Program Participation</w:t>
      </w:r>
    </w:p>
    <w:p>
      <w:pPr>
        <w:spacing w:after="140" w:line="274" w:lineRule="auto"/>
      </w:pPr>
      <w:r>
        <w:rPr>
          <w:rFonts w:ascii="Aptos" w:hAnsi="Aptos"/>
          <w:b w:val="0"/>
          <w:color w:val="000000"/>
          <w:sz w:val="21"/>
        </w:rPr>
        <w:t>Program participation is available only to Centurion partners. KAPAL retains final authority over speakers, topics, moderators, judges, scientific content, and scheduling. Any participation must provide professional or educational value.</w:t>
      </w:r>
    </w:p>
    <w:p>
      <w:r>
        <w:br w:type="page"/>
      </w:r>
    </w:p>
    <w:p>
      <w:pPr>
        <w:pStyle w:val="Heading1"/>
      </w:pPr>
      <w:r>
        <w:t>Optional Conference Sponsorships</w:t>
      </w:r>
    </w:p>
    <w:p>
      <w:pPr>
        <w:spacing w:after="140" w:line="274" w:lineRule="auto"/>
      </w:pPr>
      <w:r>
        <w:rPr>
          <w:rFonts w:ascii="Aptos" w:hAnsi="Aptos"/>
          <w:b w:val="0"/>
          <w:color w:val="000000"/>
          <w:sz w:val="21"/>
        </w:rPr>
        <w:t>Named options are available only to Centurion, Diamond, and eligible Platinum sponsors. Fees are additional to the base sponsorship unless KAPAL agrees otherwise in writing.</w:t>
      </w:r>
    </w:p>
    <w:tbl>
      <w:tblPr>
        <w:tblW w:type="auto" w:w="0"/>
        <w:jc w:val="center"/>
        <w:tblLayout w:type="fixed"/>
        <w:tblLook w:firstColumn="1" w:firstRow="1" w:lastColumn="0" w:lastRow="0" w:noHBand="0" w:noVBand="1" w:val="04A0"/>
        <w:tblBorders>
          <w:top w:val="single" w:sz="6" w:color="D9D9D9"/>
          <w:start w:val="single" w:sz="6" w:color="D9D9D9"/>
          <w:bottom w:val="single" w:sz="6" w:color="D9D9D9"/>
          <w:end w:val="single" w:sz="6" w:color="D9D9D9"/>
          <w:insideH w:val="single" w:sz="6" w:color="D9D9D9"/>
          <w:insideV w:val="single" w:sz="6" w:color="D9D9D9"/>
        </w:tblBorders>
      </w:tblPr>
      <w:tblGrid>
        <w:gridCol w:w="1694"/>
        <w:gridCol w:w="1694"/>
        <w:gridCol w:w="1694"/>
        <w:gridCol w:w="1694"/>
        <w:gridCol w:w="1694"/>
        <w:gridCol w:w="1694"/>
      </w:tblGrid>
      <w:tr>
        <w:trPr>
          <w:tblHeader w:val="true"/>
        </w:trPr>
        <w:tc>
          <w:tcPr>
            <w:tcW w:type="dxa" w:w="2232"/>
            <w:tcMar>
              <w:top w:w="105" w:type="dxa"/>
              <w:start w:w="105" w:type="dxa"/>
              <w:bottom w:w="105" w:type="dxa"/>
              <w:end w:w="105" w:type="dxa"/>
            </w:tcMar>
            <w:shd w:fill="123A63"/>
            <w:vAlign w:val="center"/>
          </w:tcPr>
          <w:p>
            <w:pPr>
              <w:spacing w:after="0"/>
              <w:jc w:val="center"/>
            </w:pPr>
            <w:r>
              <w:rPr>
                <w:rFonts w:ascii="Aptos" w:hAnsi="Aptos"/>
                <w:b/>
                <w:color w:val="FFFFFF"/>
                <w:sz w:val="17"/>
              </w:rPr>
              <w:t>Option</w:t>
            </w:r>
          </w:p>
        </w:tc>
        <w:tc>
          <w:tcPr>
            <w:tcW w:type="dxa" w:w="1180"/>
            <w:tcMar>
              <w:top w:w="105" w:type="dxa"/>
              <w:start w:w="105" w:type="dxa"/>
              <w:bottom w:w="105" w:type="dxa"/>
              <w:end w:w="105" w:type="dxa"/>
            </w:tcMar>
            <w:shd w:fill="123A63"/>
            <w:vAlign w:val="center"/>
          </w:tcPr>
          <w:p>
            <w:pPr>
              <w:spacing w:after="0"/>
              <w:jc w:val="center"/>
            </w:pPr>
            <w:r>
              <w:rPr>
                <w:rFonts w:ascii="Aptos" w:hAnsi="Aptos"/>
                <w:b/>
                <w:color w:val="FFFFFF"/>
                <w:sz w:val="17"/>
              </w:rPr>
              <w:t>Fee</w:t>
            </w:r>
          </w:p>
        </w:tc>
        <w:tc>
          <w:tcPr>
            <w:tcW w:type="dxa" w:w="1080"/>
            <w:tcMar>
              <w:top w:w="105" w:type="dxa"/>
              <w:start w:w="105" w:type="dxa"/>
              <w:bottom w:w="105" w:type="dxa"/>
              <w:end w:w="105" w:type="dxa"/>
            </w:tcMar>
            <w:shd w:fill="123A63"/>
            <w:vAlign w:val="center"/>
          </w:tcPr>
          <w:p>
            <w:pPr>
              <w:spacing w:after="0"/>
              <w:jc w:val="center"/>
            </w:pPr>
            <w:r>
              <w:rPr>
                <w:rFonts w:ascii="Aptos" w:hAnsi="Aptos"/>
                <w:b/>
                <w:color w:val="FFFFFF"/>
                <w:sz w:val="17"/>
              </w:rPr>
              <w:t>Centurion</w:t>
            </w:r>
          </w:p>
        </w:tc>
        <w:tc>
          <w:tcPr>
            <w:tcW w:type="dxa" w:w="1080"/>
            <w:tcMar>
              <w:top w:w="105" w:type="dxa"/>
              <w:start w:w="105" w:type="dxa"/>
              <w:bottom w:w="105" w:type="dxa"/>
              <w:end w:w="105" w:type="dxa"/>
            </w:tcMar>
            <w:shd w:fill="123A63"/>
            <w:vAlign w:val="center"/>
          </w:tcPr>
          <w:p>
            <w:pPr>
              <w:spacing w:after="0"/>
              <w:jc w:val="center"/>
            </w:pPr>
            <w:r>
              <w:rPr>
                <w:rFonts w:ascii="Aptos" w:hAnsi="Aptos"/>
                <w:b/>
                <w:color w:val="FFFFFF"/>
                <w:sz w:val="17"/>
              </w:rPr>
              <w:t>Diamond</w:t>
            </w:r>
          </w:p>
        </w:tc>
        <w:tc>
          <w:tcPr>
            <w:tcW w:type="dxa" w:w="1080"/>
            <w:tcMar>
              <w:top w:w="105" w:type="dxa"/>
              <w:start w:w="105" w:type="dxa"/>
              <w:bottom w:w="105" w:type="dxa"/>
              <w:end w:w="105" w:type="dxa"/>
            </w:tcMar>
            <w:shd w:fill="123A63"/>
            <w:vAlign w:val="center"/>
          </w:tcPr>
          <w:p>
            <w:pPr>
              <w:spacing w:after="0"/>
              <w:jc w:val="center"/>
            </w:pPr>
            <w:r>
              <w:rPr>
                <w:rFonts w:ascii="Aptos" w:hAnsi="Aptos"/>
                <w:b/>
                <w:color w:val="FFFFFF"/>
                <w:sz w:val="17"/>
              </w:rPr>
              <w:t>Platinum</w:t>
            </w:r>
          </w:p>
        </w:tc>
        <w:tc>
          <w:tcPr>
            <w:tcW w:type="dxa" w:w="2951"/>
            <w:tcMar>
              <w:top w:w="105" w:type="dxa"/>
              <w:start w:w="105" w:type="dxa"/>
              <w:bottom w:w="105" w:type="dxa"/>
              <w:end w:w="105" w:type="dxa"/>
            </w:tcMar>
            <w:shd w:fill="123A63"/>
            <w:vAlign w:val="center"/>
          </w:tcPr>
          <w:p>
            <w:pPr>
              <w:spacing w:after="0"/>
              <w:jc w:val="center"/>
            </w:pPr>
            <w:r>
              <w:rPr>
                <w:rFonts w:ascii="Aptos" w:hAnsi="Aptos"/>
                <w:b/>
                <w:color w:val="FFFFFF"/>
                <w:sz w:val="17"/>
              </w:rPr>
              <w:t>Primary recognition</w:t>
            </w:r>
          </w:p>
        </w:tc>
      </w:tr>
      <w:tr>
        <w:tc>
          <w:tcPr>
            <w:tcW w:type="dxa" w:w="2232"/>
            <w:tcMar>
              <w:top w:w="100" w:type="dxa"/>
              <w:start w:w="100" w:type="dxa"/>
              <w:bottom w:w="100" w:type="dxa"/>
              <w:end w:w="100" w:type="dxa"/>
            </w:tcMar>
            <w:vAlign w:val="center"/>
          </w:tcPr>
          <w:p>
            <w:pPr>
              <w:spacing w:after="0" w:line="252" w:lineRule="auto"/>
              <w:jc w:val="left"/>
            </w:pPr>
            <w:r>
              <w:rPr>
                <w:rFonts w:ascii="Aptos" w:hAnsi="Aptos"/>
                <w:b/>
                <w:color w:val="000000"/>
                <w:sz w:val="16"/>
              </w:rPr>
              <w:t>Welcome Reception</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$7,500</w:t>
            </w:r>
          </w:p>
        </w:tc>
        <w:tc>
          <w:tcPr>
            <w:tcW w:type="dxa" w:w="1080"/>
            <w:tcMar>
              <w:top w:w="100" w:type="dxa"/>
              <w:start w:w="100" w:type="dxa"/>
              <w:bottom w:w="100" w:type="dxa"/>
              <w:end w:w="100" w:type="dxa"/>
            </w:tcMar>
            <w:vAlign w:val="center"/>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No</w:t>
            </w:r>
          </w:p>
        </w:tc>
        <w:tc>
          <w:tcPr>
            <w:tcW w:type="dxa" w:w="2951"/>
            <w:tcMar>
              <w:top w:w="100" w:type="dxa"/>
              <w:start w:w="100" w:type="dxa"/>
              <w:bottom w:w="100" w:type="dxa"/>
              <w:end w:w="100" w:type="dxa"/>
            </w:tcMar>
            <w:vAlign w:val="center"/>
          </w:tcPr>
          <w:p>
            <w:pPr>
              <w:spacing w:after="0" w:line="252" w:lineRule="auto"/>
              <w:jc w:val="center"/>
            </w:pPr>
            <w:r>
              <w:rPr>
                <w:rFonts w:ascii="Aptos" w:hAnsi="Aptos"/>
                <w:b w:val="0"/>
                <w:color w:val="000000"/>
                <w:sz w:val="16"/>
              </w:rPr>
              <w:t>Reception naming and signage</w:t>
            </w:r>
          </w:p>
        </w:tc>
      </w:tr>
      <w:tr>
        <w:tc>
          <w:tcPr>
            <w:tcW w:type="dxa" w:w="2232"/>
            <w:tcMar>
              <w:top w:w="100" w:type="dxa"/>
              <w:start w:w="100" w:type="dxa"/>
              <w:bottom w:w="100" w:type="dxa"/>
              <w:end w:w="100" w:type="dxa"/>
            </w:tcMar>
            <w:vAlign w:val="center"/>
            <w:shd w:fill="EDF4FA"/>
          </w:tcPr>
          <w:p>
            <w:pPr>
              <w:spacing w:after="0" w:line="252" w:lineRule="auto"/>
              <w:jc w:val="left"/>
            </w:pPr>
            <w:r>
              <w:rPr>
                <w:rFonts w:ascii="Aptos" w:hAnsi="Aptos"/>
                <w:b/>
                <w:color w:val="000000"/>
                <w:sz w:val="16"/>
              </w:rPr>
              <w:t>Korea-U.S. Innovation Track</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$7,500</w:t>
            </w:r>
          </w:p>
        </w:tc>
        <w:tc>
          <w:tcPr>
            <w:tcW w:type="dxa" w:w="108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No</w:t>
            </w:r>
          </w:p>
        </w:tc>
        <w:tc>
          <w:tcPr>
            <w:tcW w:type="dxa" w:w="2951"/>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Track recognition</w:t>
            </w:r>
          </w:p>
        </w:tc>
      </w:tr>
      <w:tr>
        <w:tc>
          <w:tcPr>
            <w:tcW w:type="dxa" w:w="2232"/>
            <w:tcMar>
              <w:top w:w="100" w:type="dxa"/>
              <w:start w:w="100" w:type="dxa"/>
              <w:bottom w:w="100" w:type="dxa"/>
              <w:end w:w="100" w:type="dxa"/>
            </w:tcMar>
            <w:vAlign w:val="center"/>
          </w:tcPr>
          <w:p>
            <w:pPr>
              <w:spacing w:after="0" w:line="252" w:lineRule="auto"/>
              <w:jc w:val="left"/>
            </w:pPr>
            <w:r>
              <w:rPr>
                <w:rFonts w:ascii="Aptos" w:hAnsi="Aptos"/>
                <w:b/>
                <w:color w:val="000000"/>
                <w:sz w:val="16"/>
              </w:rPr>
              <w:t>Pitch Competition</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$7,500</w:t>
            </w:r>
          </w:p>
        </w:tc>
        <w:tc>
          <w:tcPr>
            <w:tcW w:type="dxa" w:w="1080"/>
            <w:tcMar>
              <w:top w:w="100" w:type="dxa"/>
              <w:start w:w="100" w:type="dxa"/>
              <w:bottom w:w="100" w:type="dxa"/>
              <w:end w:w="100" w:type="dxa"/>
            </w:tcMar>
            <w:vAlign w:val="center"/>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No</w:t>
            </w:r>
          </w:p>
        </w:tc>
        <w:tc>
          <w:tcPr>
            <w:tcW w:type="dxa" w:w="2951"/>
            <w:tcMar>
              <w:top w:w="100" w:type="dxa"/>
              <w:start w:w="100" w:type="dxa"/>
              <w:bottom w:w="100" w:type="dxa"/>
              <w:end w:w="100" w:type="dxa"/>
            </w:tcMar>
            <w:vAlign w:val="center"/>
          </w:tcPr>
          <w:p>
            <w:pPr>
              <w:spacing w:after="0" w:line="252" w:lineRule="auto"/>
              <w:jc w:val="center"/>
            </w:pPr>
            <w:r>
              <w:rPr>
                <w:rFonts w:ascii="Aptos" w:hAnsi="Aptos"/>
                <w:b w:val="0"/>
                <w:color w:val="000000"/>
                <w:sz w:val="16"/>
              </w:rPr>
              <w:t>Competition recognition</w:t>
            </w:r>
          </w:p>
        </w:tc>
      </w:tr>
      <w:tr>
        <w:tc>
          <w:tcPr>
            <w:tcW w:type="dxa" w:w="2232"/>
            <w:tcMar>
              <w:top w:w="100" w:type="dxa"/>
              <w:start w:w="100" w:type="dxa"/>
              <w:bottom w:w="100" w:type="dxa"/>
              <w:end w:w="100" w:type="dxa"/>
            </w:tcMar>
            <w:vAlign w:val="center"/>
            <w:shd w:fill="EDF4FA"/>
          </w:tcPr>
          <w:p>
            <w:pPr>
              <w:spacing w:after="0" w:line="252" w:lineRule="auto"/>
              <w:jc w:val="left"/>
            </w:pPr>
            <w:r>
              <w:rPr>
                <w:rFonts w:ascii="Aptos" w:hAnsi="Aptos"/>
                <w:b/>
                <w:color w:val="000000"/>
                <w:sz w:val="16"/>
              </w:rPr>
              <w:t>Conference Lunch</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$5,000/day</w:t>
            </w:r>
          </w:p>
        </w:tc>
        <w:tc>
          <w:tcPr>
            <w:tcW w:type="dxa" w:w="108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2951"/>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Meal recognition</w:t>
            </w:r>
          </w:p>
        </w:tc>
      </w:tr>
      <w:tr>
        <w:tc>
          <w:tcPr>
            <w:tcW w:type="dxa" w:w="2232"/>
            <w:tcMar>
              <w:top w:w="100" w:type="dxa"/>
              <w:start w:w="100" w:type="dxa"/>
              <w:bottom w:w="100" w:type="dxa"/>
              <w:end w:w="100" w:type="dxa"/>
            </w:tcMar>
            <w:vAlign w:val="center"/>
          </w:tcPr>
          <w:p>
            <w:pPr>
              <w:spacing w:after="0" w:line="252" w:lineRule="auto"/>
              <w:jc w:val="left"/>
            </w:pPr>
            <w:r>
              <w:rPr>
                <w:rFonts w:ascii="Aptos" w:hAnsi="Aptos"/>
                <w:b/>
                <w:color w:val="000000"/>
                <w:sz w:val="16"/>
              </w:rPr>
              <w:t>AI/Digital Health Session</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$5,000</w:t>
            </w:r>
          </w:p>
        </w:tc>
        <w:tc>
          <w:tcPr>
            <w:tcW w:type="dxa" w:w="1080"/>
            <w:tcMar>
              <w:top w:w="100" w:type="dxa"/>
              <w:start w:w="100" w:type="dxa"/>
              <w:bottom w:w="100" w:type="dxa"/>
              <w:end w:w="100" w:type="dxa"/>
            </w:tcMar>
            <w:vAlign w:val="center"/>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2951"/>
            <w:tcMar>
              <w:top w:w="100" w:type="dxa"/>
              <w:start w:w="100" w:type="dxa"/>
              <w:bottom w:w="100" w:type="dxa"/>
              <w:end w:w="100" w:type="dxa"/>
            </w:tcMar>
            <w:vAlign w:val="center"/>
          </w:tcPr>
          <w:p>
            <w:pPr>
              <w:spacing w:after="0" w:line="252" w:lineRule="auto"/>
              <w:jc w:val="center"/>
            </w:pPr>
            <w:r>
              <w:rPr>
                <w:rFonts w:ascii="Aptos" w:hAnsi="Aptos"/>
                <w:b w:val="0"/>
                <w:color w:val="000000"/>
                <w:sz w:val="16"/>
              </w:rPr>
              <w:t>Session recognition</w:t>
            </w:r>
          </w:p>
        </w:tc>
      </w:tr>
      <w:tr>
        <w:tc>
          <w:tcPr>
            <w:tcW w:type="dxa" w:w="2232"/>
            <w:tcMar>
              <w:top w:w="100" w:type="dxa"/>
              <w:start w:w="100" w:type="dxa"/>
              <w:bottom w:w="100" w:type="dxa"/>
              <w:end w:w="100" w:type="dxa"/>
            </w:tcMar>
            <w:vAlign w:val="center"/>
            <w:shd w:fill="EDF4FA"/>
          </w:tcPr>
          <w:p>
            <w:pPr>
              <w:spacing w:after="0" w:line="252" w:lineRule="auto"/>
              <w:jc w:val="left"/>
            </w:pPr>
            <w:r>
              <w:rPr>
                <w:rFonts w:ascii="Aptos" w:hAnsi="Aptos"/>
                <w:b/>
                <w:color w:val="000000"/>
                <w:sz w:val="16"/>
              </w:rPr>
              <w:t>Emerging Scientist Program</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$5,000</w:t>
            </w:r>
          </w:p>
        </w:tc>
        <w:tc>
          <w:tcPr>
            <w:tcW w:type="dxa" w:w="108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2951"/>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Program recognition</w:t>
            </w:r>
          </w:p>
        </w:tc>
      </w:tr>
      <w:tr>
        <w:tc>
          <w:tcPr>
            <w:tcW w:type="dxa" w:w="2232"/>
            <w:tcMar>
              <w:top w:w="100" w:type="dxa"/>
              <w:start w:w="100" w:type="dxa"/>
              <w:bottom w:w="100" w:type="dxa"/>
              <w:end w:w="100" w:type="dxa"/>
            </w:tcMar>
            <w:vAlign w:val="center"/>
          </w:tcPr>
          <w:p>
            <w:pPr>
              <w:spacing w:after="0" w:line="252" w:lineRule="auto"/>
              <w:jc w:val="left"/>
            </w:pPr>
            <w:r>
              <w:rPr>
                <w:rFonts w:ascii="Aptos" w:hAnsi="Aptos"/>
                <w:b/>
                <w:color w:val="000000"/>
                <w:sz w:val="16"/>
              </w:rPr>
              <w:t>Poster Session</w:t>
            </w:r>
          </w:p>
        </w:tc>
        <w:tc>
          <w:tcPr>
            <w:tcW w:type="dxa" w:w="11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$3,500</w:t>
            </w:r>
          </w:p>
        </w:tc>
        <w:tc>
          <w:tcPr>
            <w:tcW w:type="dxa" w:w="1080"/>
            <w:tcMar>
              <w:top w:w="100" w:type="dxa"/>
              <w:start w:w="100" w:type="dxa"/>
              <w:bottom w:w="100" w:type="dxa"/>
              <w:end w:w="100" w:type="dxa"/>
            </w:tcMar>
            <w:vAlign w:val="center"/>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tcPr>
          <w:p>
            <w:pPr>
              <w:spacing w:after="0" w:line="252" w:lineRule="auto"/>
              <w:jc w:val="center"/>
            </w:pPr>
            <w:r>
              <w:rPr>
                <w:rFonts w:ascii="Aptos" w:hAnsi="Aptos"/>
                <w:b w:val="0"/>
                <w:color w:val="000000"/>
                <w:sz w:val="16"/>
              </w:rPr>
              <w:t>Yes</w:t>
            </w:r>
          </w:p>
        </w:tc>
        <w:tc>
          <w:tcPr>
            <w:tcW w:type="dxa" w:w="2951"/>
            <w:tcMar>
              <w:top w:w="100" w:type="dxa"/>
              <w:start w:w="100" w:type="dxa"/>
              <w:bottom w:w="100" w:type="dxa"/>
              <w:end w:w="100" w:type="dxa"/>
            </w:tcMar>
            <w:vAlign w:val="center"/>
          </w:tcPr>
          <w:p>
            <w:pPr>
              <w:spacing w:after="0" w:line="252" w:lineRule="auto"/>
              <w:jc w:val="center"/>
            </w:pPr>
            <w:r>
              <w:rPr>
                <w:rFonts w:ascii="Aptos" w:hAnsi="Aptos"/>
                <w:b w:val="0"/>
                <w:color w:val="000000"/>
                <w:sz w:val="16"/>
              </w:rPr>
              <w:t>Poster-area recognition</w:t>
            </w:r>
          </w:p>
        </w:tc>
      </w:tr>
      <w:tr>
        <w:tc>
          <w:tcPr>
            <w:tcW w:type="dxa" w:w="2232"/>
            <w:tcMar>
              <w:top w:w="100" w:type="dxa"/>
              <w:start w:w="100" w:type="dxa"/>
              <w:bottom w:w="100" w:type="dxa"/>
              <w:end w:w="100" w:type="dxa"/>
            </w:tcMar>
            <w:vAlign w:val="center"/>
            <w:shd w:fill="EDF4FA"/>
          </w:tcPr>
          <w:p>
            <w:pPr>
              <w:spacing w:after="0" w:line="252" w:lineRule="auto"/>
              <w:jc w:val="left"/>
            </w:pPr>
            <w:r>
              <w:rPr>
                <w:rFonts w:ascii="Aptos" w:hAnsi="Aptos"/>
                <w:b/>
                <w:color w:val="000000"/>
                <w:sz w:val="16"/>
              </w:rPr>
              <w:t>Networking Break</w:t>
            </w:r>
          </w:p>
        </w:tc>
        <w:tc>
          <w:tcPr>
            <w:tcW w:type="dxa" w:w="11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$2,500</w:t>
            </w:r>
          </w:p>
        </w:tc>
        <w:tc>
          <w:tcPr>
            <w:tcW w:type="dxa" w:w="1080"/>
            <w:tcMar>
              <w:top w:w="100" w:type="dxa"/>
              <w:start w:w="100" w:type="dxa"/>
              <w:bottom w:w="100" w:type="dxa"/>
              <w:end w:w="100" w:type="dxa"/>
            </w:tcMar>
            <w:vAlign w:val="center"/>
            <w:shd w:fill="EDF4FA"/>
          </w:tcPr>
          <w:p>
            <w:pPr>
              <w:spacing w:after="0" w:line="252" w:lineRule="auto"/>
              <w:jc w:val="left"/>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1080"/>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Yes</w:t>
            </w:r>
          </w:p>
        </w:tc>
        <w:tc>
          <w:tcPr>
            <w:tcW w:type="dxa" w:w="2951"/>
            <w:tcMar>
              <w:top w:w="100" w:type="dxa"/>
              <w:start w:w="100" w:type="dxa"/>
              <w:bottom w:w="100" w:type="dxa"/>
              <w:end w:w="100" w:type="dxa"/>
            </w:tcMar>
            <w:vAlign w:val="center"/>
            <w:shd w:fill="EDF4FA"/>
          </w:tcPr>
          <w:p>
            <w:pPr>
              <w:spacing w:after="0" w:line="252" w:lineRule="auto"/>
              <w:jc w:val="center"/>
            </w:pPr>
            <w:r>
              <w:rPr>
                <w:rFonts w:ascii="Aptos" w:hAnsi="Aptos"/>
                <w:b w:val="0"/>
                <w:color w:val="000000"/>
                <w:sz w:val="16"/>
              </w:rPr>
              <w:t>Break recognition</w:t>
            </w:r>
          </w:p>
        </w:tc>
      </w:tr>
    </w:tbl>
    <w:p>
      <w:pPr>
        <w:spacing w:after="0"/>
      </w:pPr>
    </w:p>
    <w:p>
      <w:pPr>
        <w:pStyle w:val="Heading2"/>
      </w:pPr>
      <w:r>
        <w:t>Simple Option Rules</w:t>
      </w:r>
    </w:p>
    <w:p>
      <w:pPr>
        <w:pStyle w:val="ListBullet"/>
        <w:spacing w:after="60"/>
        <w:ind w:left="360" w:hanging="202"/>
      </w:pPr>
      <w:r>
        <w:rPr>
          <w:rFonts w:ascii="Aptos" w:hAnsi="Aptos"/>
          <w:b w:val="0"/>
          <w:color w:val="000000"/>
          <w:sz w:val="20"/>
        </w:rPr>
        <w:t>Centurion receives first priority, followed by Diamond and then Platinum.</w:t>
      </w:r>
    </w:p>
    <w:p>
      <w:pPr>
        <w:pStyle w:val="ListBullet"/>
        <w:spacing w:after="60"/>
        <w:ind w:left="360" w:hanging="202"/>
      </w:pPr>
      <w:r>
        <w:rPr>
          <w:rFonts w:ascii="Aptos" w:hAnsi="Aptos"/>
          <w:b w:val="0"/>
          <w:color w:val="000000"/>
          <w:sz w:val="20"/>
        </w:rPr>
        <w:t>Platinum may select only options marked “Yes.” Gold and Silver may upgrade to qualify.</w:t>
      </w:r>
    </w:p>
    <w:p>
      <w:pPr>
        <w:pStyle w:val="ListBullet"/>
        <w:spacing w:after="60"/>
        <w:ind w:left="360" w:hanging="202"/>
      </w:pPr>
      <w:r>
        <w:rPr>
          <w:rFonts w:ascii="Aptos" w:hAnsi="Aptos"/>
          <w:b w:val="0"/>
          <w:color w:val="000000"/>
          <w:sz w:val="20"/>
        </w:rPr>
        <w:t>Each sponsor may reserve one exclusive named option unless KAPAL approves more.</w:t>
      </w:r>
    </w:p>
    <w:p>
      <w:pPr>
        <w:pStyle w:val="ListBullet"/>
        <w:spacing w:after="60"/>
        <w:ind w:left="360" w:hanging="202"/>
      </w:pPr>
      <w:r>
        <w:rPr>
          <w:rFonts w:ascii="Aptos" w:hAnsi="Aptos"/>
          <w:b w:val="0"/>
          <w:color w:val="000000"/>
          <w:sz w:val="20"/>
        </w:rPr>
        <w:t>Options provide recognition only. They do not include a speaking, panel, moderator, or judge role.</w:t>
      </w:r>
    </w:p>
    <w:p>
      <w:pPr>
        <w:pStyle w:val="ListBullet"/>
        <w:spacing w:after="60"/>
        <w:ind w:left="360" w:hanging="202"/>
      </w:pPr>
      <w:r>
        <w:rPr>
          <w:rFonts w:ascii="Aptos" w:hAnsi="Aptos"/>
          <w:b w:val="0"/>
          <w:color w:val="000000"/>
          <w:sz w:val="20"/>
        </w:rPr>
        <w:t>All options remain subject to availability, venue rules, and KAPAL approval.</w:t>
      </w:r>
    </w:p>
    <w:p>
      <w:r>
        <w:br w:type="page"/>
      </w:r>
    </w:p>
    <w:p>
      <w:pPr>
        <w:pStyle w:val="Heading1"/>
      </w:pPr>
      <w:r>
        <w:t>Centurion Governance Conditions and General Terms</w:t>
      </w:r>
    </w:p>
    <w:p>
      <w:pPr>
        <w:pStyle w:val="Heading2"/>
      </w:pPr>
      <w:r>
        <w:t>Corporate Advisory Council</w:t>
      </w:r>
    </w:p>
    <w:p>
      <w:pPr>
        <w:spacing w:after="140" w:line="274" w:lineRule="auto"/>
      </w:pPr>
      <w:r>
        <w:rPr>
          <w:rFonts w:ascii="Aptos" w:hAnsi="Aptos"/>
          <w:b w:val="0"/>
          <w:color w:val="000000"/>
          <w:sz w:val="21"/>
        </w:rPr>
        <w:t>A Centurion partner may propose one senior executive for a one-year term on KAPAL’s Corporate Advisory Council. The Council is advisory only and has no voting, fiduciary, contracting, management, or board authority. KAPAL retains approval of each representative.</w:t>
      </w:r>
    </w:p>
    <w:p>
      <w:pPr>
        <w:pStyle w:val="Heading2"/>
      </w:pPr>
      <w:r>
        <w:t>Board Nomination</w:t>
      </w:r>
    </w:p>
    <w:p>
      <w:pPr>
        <w:spacing w:after="140" w:line="274" w:lineRule="auto"/>
      </w:pPr>
      <w:r>
        <w:rPr>
          <w:rFonts w:ascii="Aptos" w:hAnsi="Aptos"/>
          <w:b w:val="0"/>
          <w:color w:val="000000"/>
          <w:sz w:val="21"/>
        </w:rPr>
        <w:t>A Centurion partner may recommend one qualified individual for consideration through KAPAL’s independent board nomination process. Sponsorship does not create, purchase, guarantee, or renew a board seat.</w:t>
      </w:r>
    </w:p>
    <w:p>
      <w:pPr>
        <w:pStyle w:val="ListBullet"/>
        <w:spacing w:after="60"/>
        <w:ind w:left="360" w:hanging="202"/>
      </w:pPr>
      <w:r>
        <w:rPr>
          <w:rFonts w:ascii="Aptos" w:hAnsi="Aptos"/>
          <w:b w:val="0"/>
          <w:color w:val="000000"/>
          <w:sz w:val="20"/>
        </w:rPr>
        <w:t>The individual, not the sponsoring company, serves as the director.</w:t>
      </w:r>
    </w:p>
    <w:p>
      <w:pPr>
        <w:pStyle w:val="ListBullet"/>
        <w:spacing w:after="60"/>
        <w:ind w:left="360" w:hanging="202"/>
      </w:pPr>
      <w:r>
        <w:rPr>
          <w:rFonts w:ascii="Aptos" w:hAnsi="Aptos"/>
          <w:b w:val="0"/>
          <w:color w:val="000000"/>
          <w:sz w:val="20"/>
        </w:rPr>
        <w:t>KAPAL applies its bylaws, election process, term rules, and governance requirements.</w:t>
      </w:r>
    </w:p>
    <w:p>
      <w:pPr>
        <w:pStyle w:val="ListBullet"/>
        <w:spacing w:after="60"/>
        <w:ind w:left="360" w:hanging="202"/>
      </w:pPr>
      <w:r>
        <w:rPr>
          <w:rFonts w:ascii="Aptos" w:hAnsi="Aptos"/>
          <w:b w:val="0"/>
          <w:color w:val="000000"/>
          <w:sz w:val="20"/>
        </w:rPr>
        <w:t>The director must act in KAPAL’s best interests and disclose relevant conflicts.</w:t>
      </w:r>
    </w:p>
    <w:p>
      <w:pPr>
        <w:pStyle w:val="ListBullet"/>
        <w:spacing w:after="60"/>
        <w:ind w:left="360" w:hanging="202"/>
      </w:pPr>
      <w:r>
        <w:rPr>
          <w:rFonts w:ascii="Aptos" w:hAnsi="Aptos"/>
          <w:b w:val="0"/>
          <w:color w:val="000000"/>
          <w:sz w:val="20"/>
        </w:rPr>
        <w:t>The director must abstain when KAPAL determines that a conflict exists.</w:t>
      </w:r>
    </w:p>
    <w:p>
      <w:pPr>
        <w:pStyle w:val="ListBullet"/>
        <w:spacing w:after="60"/>
        <w:ind w:left="360" w:hanging="202"/>
      </w:pPr>
      <w:r>
        <w:rPr>
          <w:rFonts w:ascii="Aptos" w:hAnsi="Aptos"/>
          <w:b w:val="0"/>
          <w:color w:val="000000"/>
          <w:sz w:val="20"/>
        </w:rPr>
        <w:t>Starting or ending sponsorship does not automatically start or end board service.</w:t>
      </w:r>
    </w:p>
    <w:p>
      <w:pPr>
        <w:pStyle w:val="Heading2"/>
      </w:pPr>
      <w:r>
        <w:t>General Terms</w:t>
      </w:r>
    </w:p>
    <w:p>
      <w:pPr>
        <w:pStyle w:val="ListBullet"/>
        <w:spacing w:after="60"/>
        <w:ind w:left="360" w:hanging="202"/>
      </w:pPr>
      <w:r>
        <w:rPr>
          <w:rFonts w:ascii="Aptos" w:hAnsi="Aptos"/>
          <w:b w:val="0"/>
          <w:color w:val="000000"/>
          <w:sz w:val="20"/>
        </w:rPr>
        <w:t>Benefits depend on timely payment, production deadlines, available space, and venue rules.</w:t>
      </w:r>
    </w:p>
    <w:p>
      <w:pPr>
        <w:pStyle w:val="ListBullet"/>
        <w:spacing w:after="60"/>
        <w:ind w:left="360" w:hanging="202"/>
      </w:pPr>
      <w:r>
        <w:rPr>
          <w:rFonts w:ascii="Aptos" w:hAnsi="Aptos"/>
          <w:b w:val="0"/>
          <w:color w:val="000000"/>
          <w:sz w:val="20"/>
        </w:rPr>
        <w:t>KAPAL must approve logos, advertisements, materials, and any Centurion program participation.</w:t>
      </w:r>
    </w:p>
    <w:p>
      <w:pPr>
        <w:pStyle w:val="ListBullet"/>
        <w:spacing w:after="60"/>
        <w:ind w:left="360" w:hanging="202"/>
      </w:pPr>
      <w:r>
        <w:rPr>
          <w:rFonts w:ascii="Aptos" w:hAnsi="Aptos"/>
          <w:b w:val="0"/>
          <w:color w:val="000000"/>
          <w:sz w:val="20"/>
        </w:rPr>
        <w:t>KAPAL will not provide attendee contact information without appropriate consent.</w:t>
      </w:r>
    </w:p>
    <w:p>
      <w:pPr>
        <w:pStyle w:val="ListBullet"/>
        <w:spacing w:after="60"/>
        <w:ind w:left="360" w:hanging="202"/>
      </w:pPr>
      <w:r>
        <w:rPr>
          <w:rFonts w:ascii="Aptos" w:hAnsi="Aptos"/>
          <w:b w:val="0"/>
          <w:color w:val="000000"/>
          <w:sz w:val="20"/>
        </w:rPr>
        <w:t>Tickets, advertisements, exhibit space, and other benefits may have fair market value. Sponsors should consult their own tax advisers.</w:t>
      </w:r>
    </w:p>
    <w:p>
      <w:pPr>
        <w:pStyle w:val="ListBullet"/>
        <w:spacing w:after="60"/>
        <w:ind w:left="360" w:hanging="202"/>
      </w:pPr>
      <w:r>
        <w:rPr>
          <w:rFonts w:ascii="Aptos" w:hAnsi="Aptos"/>
          <w:b w:val="0"/>
          <w:color w:val="000000"/>
          <w:sz w:val="20"/>
        </w:rPr>
        <w:t>The final written sponsorship agreement controls if it differs from this proposal.</w:t>
      </w:r>
    </w:p>
    <w:p>
      <w:r>
        <w:br w:type="page"/>
      </w:r>
    </w:p>
    <w:p>
      <w:pPr>
        <w:pStyle w:val="Heading1"/>
      </w:pPr>
      <w:r>
        <w:t>2026 Sponsorship Commitment Form</w:t>
      </w:r>
    </w:p>
    <w:p>
      <w:pPr>
        <w:spacing w:after="140" w:line="274" w:lineRule="auto"/>
      </w:pPr>
      <w:r>
        <w:rPr>
          <w:rFonts w:ascii="Aptos" w:hAnsi="Aptos"/>
          <w:b w:val="0"/>
          <w:color w:val="000000"/>
          <w:sz w:val="21"/>
        </w:rPr>
        <w:t>The 10th KAPAL Annual Conference | November 6-7, 2026 | San Diego, California</w:t>
      </w:r>
    </w:p>
    <w:p>
      <w:pPr>
        <w:spacing w:after="140" w:line="274" w:lineRule="auto"/>
      </w:pPr>
      <w:r>
        <w:rPr>
          <w:rFonts w:ascii="Aptos" w:hAnsi="Aptos"/>
          <w:b w:val="0"/>
          <w:color w:val="000000"/>
          <w:sz w:val="21"/>
        </w:rPr>
        <w:t>Return the completed form to contact@kapal.org. KAPAL will confirm availability, benefits, deadlines, and payment instructions in writing.</w:t>
      </w:r>
    </w:p>
    <w:p>
      <w:pPr>
        <w:pStyle w:val="Heading2"/>
      </w:pPr>
      <w:r>
        <w:t>Sponsor Information</w:t>
      </w:r>
    </w:p>
    <w:p>
      <w:pPr>
        <w:spacing w:after="120"/>
      </w:pPr>
      <w:r>
        <w:rPr>
          <w:rFonts w:ascii="Aptos" w:hAnsi="Aptos"/>
          <w:b/>
          <w:color w:val="000000"/>
          <w:sz w:val="20"/>
        </w:rPr>
        <w:t>Organization:</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Contact person:</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Title:</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Address:</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Phone:</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Email:</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Website:</w:t>
      </w:r>
      <w:r>
        <w:rPr>
          <w:rFonts w:ascii="Aptos" w:hAnsi="Aptos"/>
          <w:b w:val="0"/>
          <w:color w:val="000000"/>
          <w:sz w:val="20"/>
        </w:rPr>
        <w:t xml:space="preserve">  ____________________________________________________________</w:t>
      </w:r>
    </w:p>
    <w:p>
      <w:pPr>
        <w:pStyle w:val="Heading2"/>
      </w:pPr>
      <w:r>
        <w:t>Sponsorship Selection</w:t>
      </w:r>
    </w:p>
    <w:p>
      <w:pPr>
        <w:spacing w:after="140"/>
      </w:pPr>
      <w:r>
        <w:rPr>
          <w:rFonts w:ascii="Aptos" w:hAnsi="Aptos"/>
          <w:b/>
          <w:color w:val="000000"/>
          <w:sz w:val="20"/>
        </w:rPr>
        <w:t xml:space="preserve">Level:  </w:t>
      </w:r>
      <w:r>
        <w:rPr>
          <w:rFonts w:ascii="DejaVu Sans" w:hAnsi="DejaVu Sans"/>
          <w:b w:val="0"/>
          <w:color w:val="000000"/>
          <w:sz w:val="19"/>
        </w:rPr>
        <w:t>☐ Centurion $15,000+    ☐ Diamond $10,000    ☐ Platinum $5,000</w:t>
      </w:r>
    </w:p>
    <w:p>
      <w:pPr>
        <w:spacing w:after="140"/>
      </w:pPr>
      <w:r>
        <w:rPr>
          <w:rFonts w:ascii="Aptos" w:hAnsi="Aptos"/>
          <w:b/>
          <w:color w:val="000000"/>
          <w:sz w:val="20"/>
        </w:rPr>
        <w:t xml:space="preserve">   </w:t>
      </w:r>
      <w:r>
        <w:rPr>
          <w:rFonts w:ascii="DejaVu Sans" w:hAnsi="DejaVu Sans"/>
          <w:b w:val="0"/>
          <w:color w:val="000000"/>
          <w:sz w:val="19"/>
        </w:rPr>
        <w:t>☐ Gold $3,000    ☐ Silver $1,000</w:t>
      </w:r>
    </w:p>
    <w:p>
      <w:pPr>
        <w:spacing w:after="120"/>
      </w:pPr>
      <w:r>
        <w:rPr>
          <w:rFonts w:ascii="Aptos" w:hAnsi="Aptos"/>
          <w:b/>
          <w:color w:val="000000"/>
          <w:sz w:val="20"/>
        </w:rPr>
        <w:t>Optional sponsorship:</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Total commitment: $</w:t>
      </w:r>
      <w:r>
        <w:rPr>
          <w:rFonts w:ascii="Aptos" w:hAnsi="Aptos"/>
          <w:b w:val="0"/>
          <w:color w:val="000000"/>
          <w:sz w:val="20"/>
        </w:rPr>
        <w:t xml:space="preserve">  ____________________________________________________________</w:t>
      </w:r>
    </w:p>
    <w:p>
      <w:pPr>
        <w:spacing w:after="140"/>
      </w:pPr>
      <w:r>
        <w:rPr>
          <w:rFonts w:ascii="Aptos" w:hAnsi="Aptos"/>
          <w:b/>
          <w:color w:val="000000"/>
          <w:sz w:val="20"/>
        </w:rPr>
        <w:t xml:space="preserve">Payment:  </w:t>
      </w:r>
      <w:r>
        <w:rPr>
          <w:rFonts w:ascii="DejaVu Sans" w:hAnsi="DejaVu Sans"/>
          <w:b w:val="0"/>
          <w:color w:val="000000"/>
          <w:sz w:val="19"/>
        </w:rPr>
        <w:t>☐ Check payable to KAPAL    ☐ Wire transfer    ☐ Other</w:t>
      </w:r>
    </w:p>
    <w:p>
      <w:pPr>
        <w:pStyle w:val="Heading2"/>
      </w:pPr>
      <w:r>
        <w:t>Authorization</w:t>
      </w:r>
    </w:p>
    <w:p>
      <w:pPr>
        <w:spacing w:after="140" w:line="274" w:lineRule="auto"/>
      </w:pPr>
      <w:r>
        <w:rPr>
          <w:rFonts w:ascii="Aptos" w:hAnsi="Aptos"/>
          <w:b w:val="0"/>
          <w:color w:val="000000"/>
          <w:sz w:val="19"/>
        </w:rPr>
        <w:t>The sponsor authorizes KAPAL to use its submitted name and logo for approved sponsorship recognition. Sponsorship becomes final after KAPAL confirms acceptance and receives payment or executes a written agreement.</w:t>
      </w:r>
    </w:p>
    <w:p>
      <w:pPr>
        <w:spacing w:after="120"/>
      </w:pPr>
      <w:r>
        <w:rPr>
          <w:rFonts w:ascii="Aptos" w:hAnsi="Aptos"/>
          <w:b/>
          <w:color w:val="000000"/>
          <w:sz w:val="20"/>
        </w:rPr>
        <w:t>Authorized signature:</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Printed name and title:</w:t>
      </w:r>
      <w:r>
        <w:rPr>
          <w:rFonts w:ascii="Aptos" w:hAnsi="Aptos"/>
          <w:b w:val="0"/>
          <w:color w:val="000000"/>
          <w:sz w:val="20"/>
        </w:rPr>
        <w:t xml:space="preserve">  ____________________________________________________________</w:t>
      </w:r>
    </w:p>
    <w:p>
      <w:pPr>
        <w:spacing w:after="120"/>
      </w:pPr>
      <w:r>
        <w:rPr>
          <w:rFonts w:ascii="Aptos" w:hAnsi="Aptos"/>
          <w:b/>
          <w:color w:val="000000"/>
          <w:sz w:val="20"/>
        </w:rPr>
        <w:t>Date:</w:t>
      </w:r>
      <w:r>
        <w:rPr>
          <w:rFonts w:ascii="Aptos" w:hAnsi="Aptos"/>
          <w:b w:val="0"/>
          <w:color w:val="000000"/>
          <w:sz w:val="20"/>
        </w:rPr>
        <w:t xml:space="preserve">  ____________________________________________________________</w:t>
      </w:r>
    </w:p>
    <w:p>
      <w:pPr>
        <w:spacing w:before="200"/>
        <w:jc w:val="center"/>
      </w:pPr>
      <w:r>
        <w:rPr>
          <w:rFonts w:ascii="Aptos" w:hAnsi="Aptos"/>
          <w:b/>
          <w:color w:val="123A63"/>
          <w:sz w:val="21"/>
        </w:rPr>
        <w:t>Questions and completed forms: contact@kapal.org</w:t>
      </w:r>
    </w:p>
    <w:p>
      <w:pPr>
        <w:jc w:val="center"/>
      </w:pPr>
      <w:r>
        <w:rPr>
          <w:rFonts w:ascii="Aptos" w:hAnsi="Aptos"/>
          <w:b w:val="0"/>
          <w:color w:val="68737D"/>
          <w:sz w:val="19"/>
        </w:rPr>
        <w:t>www.kapal.org</w:t>
      </w:r>
    </w:p>
    <w:sectPr w:rsidR="00FC693F" w:rsidRPr="0006063C" w:rsidSect="00034616">
      <w:footerReference w:type="default" r:id="rId9"/>
      <w:pgSz w:w="12240" w:h="15840"/>
      <w:pgMar w:top="979" w:right="1037" w:bottom="979"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b w:val="0"/>
        <w:color w:val="68737D"/>
        <w:sz w:val="16"/>
      </w:rPr>
      <w:t xml:space="preserve">KAPAL 2026 Sponsorship Proposal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140"/>
      <w:outlineLvl w:val="0"/>
    </w:pPr>
    <w:rPr>
      <w:rFonts w:asciiTheme="majorHAnsi" w:eastAsiaTheme="majorEastAsia" w:hAnsiTheme="majorHAnsi" w:cstheme="majorBidi" w:ascii="Aptos" w:hAnsi="Aptos"/>
      <w:b/>
      <w:bCs/>
      <w:color w:val="000000"/>
      <w:sz w:val="34"/>
      <w:szCs w:val="28"/>
    </w:rPr>
  </w:style>
  <w:style w:type="paragraph" w:styleId="Heading2">
    <w:name w:val="heading 2"/>
    <w:basedOn w:val="Normal"/>
    <w:next w:val="Normal"/>
    <w:link w:val="Heading2Char"/>
    <w:uiPriority w:val="9"/>
    <w:unhideWhenUsed/>
    <w:qFormat/>
    <w:rsid w:val="00FC693F"/>
    <w:pPr>
      <w:keepNext/>
      <w:keepLines/>
      <w:spacing w:before="140" w:after="140"/>
      <w:outlineLvl w:val="1"/>
    </w:pPr>
    <w:rPr>
      <w:rFonts w:asciiTheme="majorHAnsi" w:eastAsiaTheme="majorEastAsia" w:hAnsiTheme="majorHAnsi" w:cstheme="majorBidi" w:ascii="Aptos" w:hAnsi="Aptos"/>
      <w:b/>
      <w:bCs/>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40" w:line="240" w:lineRule="auto" w:before="140"/>
      <w:contextualSpacing/>
    </w:pPr>
    <w:rPr>
      <w:rFonts w:asciiTheme="majorHAnsi" w:eastAsiaTheme="majorEastAsia" w:hAnsiTheme="majorHAnsi" w:cstheme="majorBidi" w:ascii="Aptos" w:hAnsi="Aptos"/>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KAPAL 2026 Sponsorship Partnership Proposal - Simplified</dc:title>
  <dc:subject>The 10th KAPAL Annual Conference sponsorship opportunities</dc:subject>
  <dc:creator>KAPAL</dc:creator>
  <cp:keywords/>
  <dc:description>generated by python-docx</dc:description>
  <cp:lastModifiedBy/>
  <cp:revision>1</cp:revision>
  <dcterms:created xsi:type="dcterms:W3CDTF">2013-12-23T23:15:00Z</dcterms:created>
  <dcterms:modified xsi:type="dcterms:W3CDTF">2013-12-23T23:15:00Z</dcterms:modified>
  <cp:category/>
</cp:coreProperties>
</file>